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uk-UA"/>
        </w:rPr>
      </w:pPr>
      <w:r>
        <w:rPr>
          <w:lang w:val="uk-UA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-650240</wp:posOffset>
            </wp:positionH>
            <wp:positionV relativeFrom="paragraph">
              <wp:posOffset>76835</wp:posOffset>
            </wp:positionV>
            <wp:extent cx="7490460" cy="10692130"/>
            <wp:effectExtent l="0" t="0" r="0" b="0"/>
            <wp:wrapNone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46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rFonts w:ascii="Calibri" w:hAnsi="Calibri" w:eastAsia="Dotum" w:cs="Tahoma"/>
          <w:sz w:val="28"/>
          <w:szCs w:val="28"/>
          <w:highlight w:val="white"/>
        </w:rPr>
      </w:pPr>
      <w:r>
        <w:rPr>
          <w:rFonts w:eastAsia="Dotum" w:cs="Tahoma" w:ascii="Calibri" w:hAnsi="Calibri"/>
          <w:sz w:val="28"/>
          <w:szCs w:val="28"/>
          <w:highlight w:val="white"/>
        </w:rPr>
      </w:r>
    </w:p>
    <w:p>
      <w:pPr>
        <w:pStyle w:val="Normal"/>
        <w:tabs>
          <w:tab w:val="clear" w:pos="709"/>
          <w:tab w:val="left" w:pos="2896" w:leader="none"/>
        </w:tabs>
        <w:rPr>
          <w:rFonts w:ascii="Calibri" w:hAnsi="Calibri" w:eastAsia="Dotum" w:cs="Tahoma"/>
          <w:sz w:val="28"/>
          <w:szCs w:val="28"/>
          <w:highlight w:val="white"/>
          <w:lang w:val="uk-UA"/>
        </w:rPr>
      </w:pPr>
      <w:r>
        <w:rPr>
          <w:rFonts w:eastAsia="Dotum" w:cs="Tahoma" w:ascii="Calibri" w:hAnsi="Calibri"/>
          <w:sz w:val="28"/>
          <w:szCs w:val="28"/>
          <w:highlight w:val="white"/>
          <w:lang w:val="uk-UA"/>
        </w:rPr>
      </w:r>
    </w:p>
    <w:p>
      <w:pPr>
        <w:pStyle w:val="Normal"/>
        <w:rPr/>
      </w:pPr>
      <w:r>
        <w:rPr>
          <w:rFonts w:eastAsia="Dotum" w:cs="Tahoma" w:ascii="Calibri" w:hAnsi="Calibri"/>
          <w:sz w:val="22"/>
          <w:szCs w:val="22"/>
          <w:shd w:fill="FFFFFF" w:val="clear"/>
          <w:lang w:val="uk-UA"/>
        </w:rPr>
        <w:t>21</w:t>
      </w:r>
      <w:r>
        <w:rPr>
          <w:rFonts w:eastAsia="Dotum" w:cs="Tahoma" w:ascii="Calibri" w:hAnsi="Calibri"/>
          <w:sz w:val="22"/>
          <w:szCs w:val="22"/>
          <w:shd w:fill="FFFFFF" w:val="clear"/>
          <w:lang w:val="uk-UA"/>
        </w:rPr>
        <w:t>.</w:t>
      </w:r>
      <w:r>
        <w:rPr>
          <w:rFonts w:eastAsia="Dotum" w:cs="Tahoma" w:ascii="Calibri" w:hAnsi="Calibri"/>
          <w:sz w:val="22"/>
          <w:szCs w:val="22"/>
          <w:shd w:fill="FFFFFF" w:val="clear"/>
          <w:lang w:val="uk-UA"/>
        </w:rPr>
        <w:t>12</w:t>
      </w:r>
      <w:r>
        <w:rPr>
          <w:rFonts w:eastAsia="Dotum" w:cs="Tahoma" w:ascii="Calibri" w:hAnsi="Calibri"/>
          <w:sz w:val="22"/>
          <w:szCs w:val="22"/>
          <w:shd w:fill="FFFFFF" w:val="clear"/>
          <w:lang w:val="uk-UA"/>
        </w:rPr>
        <w:t>.2020</w:t>
      </w:r>
    </w:p>
    <w:p>
      <w:pPr>
        <w:pStyle w:val="Normal"/>
        <w:rPr>
          <w:rFonts w:ascii="Calibri" w:hAnsi="Calibri" w:eastAsia="Dotum" w:cs="Tahoma"/>
          <w:b/>
          <w:b/>
          <w:sz w:val="22"/>
          <w:szCs w:val="22"/>
          <w:highlight w:val="white"/>
          <w:u w:val="single"/>
          <w:lang w:val="uk-UA"/>
        </w:rPr>
      </w:pPr>
      <w:r>
        <w:rPr/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cs="Times New Roman" w:ascii="Times New Roman" w:hAnsi="Times New Roman"/>
          <w:b/>
          <w:sz w:val="28"/>
          <w:szCs w:val="28"/>
          <w:u w:val="none"/>
          <w:lang w:val="uk-UA"/>
        </w:rPr>
        <w:t>МІЖНАРОДНА ФЕДЕРАЦІЯ ПЕТАНКУ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cs="Times New Roman" w:ascii="Times New Roman" w:hAnsi="Times New Roman"/>
          <w:b/>
          <w:sz w:val="28"/>
          <w:szCs w:val="28"/>
          <w:u w:val="none"/>
          <w:lang w:val="uk-UA"/>
        </w:rPr>
        <w:t>ТА ПРОВАНСАЛЬСЬКОЇ ГРИ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  <w:u w:val="none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cs="Times New Roman" w:ascii="Times New Roman" w:hAnsi="Times New Roman"/>
          <w:b/>
          <w:sz w:val="28"/>
          <w:szCs w:val="28"/>
          <w:u w:val="none"/>
          <w:lang w:val="uk-UA"/>
        </w:rPr>
        <w:t>СТАТУТ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  <w:u w:val="none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cs="Times New Roman" w:ascii="Times New Roman" w:hAnsi="Times New Roman"/>
          <w:b/>
          <w:sz w:val="28"/>
          <w:szCs w:val="28"/>
          <w:u w:val="none"/>
          <w:lang w:val="uk-UA"/>
        </w:rPr>
        <w:t>РОЗДІЛ I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cs="Times New Roman" w:ascii="Times New Roman" w:hAnsi="Times New Roman"/>
          <w:b/>
          <w:sz w:val="28"/>
          <w:szCs w:val="28"/>
          <w:u w:val="none"/>
          <w:lang w:val="uk-UA"/>
        </w:rPr>
        <w:t>ЗАСНУВАННЯ ТА ЗАГАЛЬНІ ПОЛОЖЕННЯ</w:t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13"/>
        <w:gridCol w:w="8046"/>
      </w:tblGrid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Міжнародна федерація петанку і провансальської гри (М.Ф.П.П.Г.) (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La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F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é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d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é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ration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Internationale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de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P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é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tanque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et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Jeu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Proven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ç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al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(F.I.P.J.P.) об'єднує всі національні федерації, які, отримавши членство цієї організації, практикують ці дві дисципліни, спільно чи ні.</w:t>
            </w:r>
          </w:p>
        </w:tc>
      </w:tr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М.Ф.П.П.Г. є частиною Світової конфедерації кулькових видів спорту (С.К.К.В.С.) (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la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Conf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é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d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é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ration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Mondiale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des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Sports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de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Boules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(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C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.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M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.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S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.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B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>.)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, яка визнана Міжнародним олімпійським комітетом (М.О.К.).</w:t>
            </w:r>
          </w:p>
        </w:tc>
      </w:tr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Вона не має наміру втручатися в суто національні справи.</w:t>
            </w:r>
          </w:p>
        </w:tc>
      </w:tr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Вона визнає федерації та ті, які входили б у її склад, як національні органи влади у своїх країнах.</w:t>
            </w:r>
          </w:p>
        </w:tc>
      </w:tr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Її тривалість діяльності необмежена.</w:t>
            </w:r>
          </w:p>
        </w:tc>
      </w:tr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3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Вона утримується від будь-яких дискусій або демонстрацій, що мають політичний, конфесійний або расовий характер.</w:t>
            </w:r>
          </w:p>
        </w:tc>
      </w:tr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Юридична адреса М.Ф.П.П.Г. знаходиться в країні-Голови за погодженням Виконавчого комітету.</w:t>
            </w:r>
          </w:p>
        </w:tc>
      </w:tr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Статути та внутрішні розпорядження передаються на зберігання до акредитованих державних органів нації, де знаходиться її юридична адреса. Вони підпадають під дію законів та судової практики, що діють у цій країні.</w:t>
            </w:r>
          </w:p>
        </w:tc>
      </w:tr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6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Статути та положення, рішення, прийняті на з'їздах М.Ф.П.П.Г. або Виконавчим комітетом у межах своїх повноважень, пов'язують та зобов’язують всі національні федерації, приєднані до М.Ф.П.П.Г., і, як результат, всі їхні товариства та спортсменів, що мають членський білет.</w:t>
            </w:r>
          </w:p>
        </w:tc>
      </w:tr>
      <w:tr>
        <w:trPr/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7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Офіційною мовою Конгресів, зібрань та листування є французька. Англійська мова може використовуватися як друга робоча мова. У випадку перекладу (на іншу мову) протоколів засідань, Конгресу, положень, статутів тощо, вважатиметься достовірним лише текст французькою мовою.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II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ЦІЛІ ТА ДІЯЛЬНІСТЬ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u w:val="single"/>
          <w:lang w:val="uk-U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94"/>
        <w:gridCol w:w="7765"/>
      </w:tblGrid>
      <w:tr>
        <w:trPr/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8</w:t>
            </w:r>
          </w:p>
        </w:tc>
        <w:tc>
          <w:tcPr>
            <w:tcW w:w="776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М.Ф.П.П.Г. має на меті розвивати дві спортивні дисципліни, Петанк та Провансальську гру, у країнах, які є членами. Вона повинна зробити все можливе для створення національних федерацій у країнах, де їх немає, якщо цими видами спорту там займаються.</w:t>
            </w:r>
          </w:p>
        </w:tc>
      </w:tr>
      <w:tr>
        <w:trPr/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9</w:t>
            </w:r>
          </w:p>
        </w:tc>
        <w:tc>
          <w:tcPr>
            <w:tcW w:w="776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Вона регулює міжнародні змагання, організовані нею чи асоційованими федераціями.</w:t>
            </w:r>
          </w:p>
        </w:tc>
      </w:tr>
      <w:tr>
        <w:trPr/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10</w:t>
            </w:r>
          </w:p>
        </w:tc>
        <w:tc>
          <w:tcPr>
            <w:tcW w:w="776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Вона розробляє Правила ігор (петанку і провансальської), а також правила, що стосуються арбітражу.</w:t>
            </w:r>
          </w:p>
        </w:tc>
      </w:tr>
      <w:tr>
        <w:trPr/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11</w:t>
            </w:r>
          </w:p>
        </w:tc>
        <w:tc>
          <w:tcPr>
            <w:tcW w:w="776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Вона встановлює Календар чемпіонатів світу та, можливо, Міжнародних турнірів. Останні не можна організовувати без її попередньої згоди.</w:t>
            </w:r>
          </w:p>
        </w:tc>
      </w:tr>
      <w:tr>
        <w:trPr/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203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12</w:t>
            </w:r>
          </w:p>
        </w:tc>
        <w:tc>
          <w:tcPr>
            <w:tcW w:w="776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Вона повинна підтримувати принцип аматорства та забезпечувати його суворе застосування на всіх міжнародних змаганнях, включаючи чемпіонати світу.</w:t>
            </w:r>
          </w:p>
        </w:tc>
      </w:tr>
      <w:tr>
        <w:trPr/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12а</w:t>
            </w:r>
          </w:p>
        </w:tc>
        <w:tc>
          <w:tcPr>
            <w:tcW w:w="776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Вона підтверджує свою волю і рішучість невпинно продовжувати боротися проти допінгу у спорті, у співпраці зі всіма спортивними організаціями, а також пропагувати етику, чесну гру та здоров'я.</w:t>
            </w:r>
          </w:p>
        </w:tc>
      </w:tr>
      <w:tr>
        <w:trPr/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13</w:t>
            </w:r>
          </w:p>
        </w:tc>
        <w:tc>
          <w:tcPr>
            <w:tcW w:w="776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М.Ф.П.П.Г. забезпечує дотримання Статуту та положень, застосовує та виконує рішення, прийняті Конгресами, а також ті, що належать до компетенції Виконавчого комітету.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III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ЧЛЕНИ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u w:val="single"/>
          <w:lang w:val="uk-U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1"/>
        <w:gridCol w:w="7718"/>
      </w:tblGrid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14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М.Ф.П.П.Г. складається з приєднаних до неї національних федерацій. Можна приймати лише одну Федерацію від нації.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15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Запити про приєднання нових членів повинні надходити до Виконавчого комітету. Останній може їх прийняти тимчасово до рішення наступного засідання Конгресу.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uk-UA"/>
              </w:rPr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Будь-яка нова Федерація буде прийнята, як член-стажер, лишень, якщо вона отримає дві третини голосів Конгресу. Ця приналежність стане остаточною лише через один рік. Вона буде підтверджена Конгресом після її прийняття.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uk-UA"/>
              </w:rPr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Щоб бути прийнятим в якості стажера, будь-яка нова Федерація повинна бути присутньою на Конгресі та вчасно сплачувати внески. У разі відсутності цей запит буде поновлено для подання на наступне засідання Конгресу, з тим, що матиметься на увазі, що вищезазначене положення буде дотримуватися.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16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Кожна Федерація-член визнає повноваження М.Ф.П.П.Г. та Виконавчого комітету.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17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Федерації-члени забезпечуватимуть дотримання Статуту та положень М.Ф.П.П.Г. на їхній території. Вони зобов'язуються брати участь у розвитку М.Ф.П.П.Г. і захисті її єдності.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18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Федерація, яка перестає бути частиною М.Ф.П.П.Г. або шляхом відставки, або шляхом виключення, втрачає всі свої права на активи та не може додатково вимагати відшкодування своїх попередніх виплат.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19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Федерація, яка покинула або була виключена з М.Ф.П.П.Г., може завжди попросити про відновлення. Її ситуацію, що стосується будь-яких несвоєчасних членських внесків або будь-якої суми, яку вона могла б заборгувати Міжнародній федерації, потім вивчає Виконавчий комітет та запропонує умови її відновлення в Конгресі, який єдиний має право прийняти її знову.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20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Приєднаній Федерації забороняється підтримувати відносини з Федерацією, яка перестала бути членом М.Ф.П.П.Г., або яка не уповноважена керувати нашою дисципліною.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IV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УПРАВЛІННЯ ТА ФУНКЦІОНУВАННЯ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u w:val="single"/>
          <w:lang w:val="uk-U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25"/>
        <w:gridCol w:w="7734"/>
      </w:tblGrid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Інстанціями М.Ф.П.П.Г. є: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1) Конгрес (Генеральна Асамблея асоційованих федерацій),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2) Виконавчий комітет (до складу якого входять щонайменше: 1 Голова, 1 генеральний секретар, 1 генеральний скарбничий та 1 або більше заступників голови, призначених В.К.)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3) Комісії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4) Аудитори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А) КОНГРЕС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1"/>
        <w:gridCol w:w="7718"/>
      </w:tblGrid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22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Конгрес, що складається з асоційованих федерацій, є вищою владою М.Ф.П.П.Г.  Він визначає цілі та напрямок поведінки Федерації, приступає до обрання членів Виконавчого комітету, приймає головні рішення, що стосуються управління М.Ф.П.П.Г. та забезпечує їх застосування Виконавчим комітетом.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Конгрес проводиться раз на рік в одному з міст, що організовують чемпіонат світу. Наради можуть проводитися належним чином лише у тому випадку, якщо половина плюс одна з федерацій-членів присутня або представлена.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23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Конгрес буде скликатися принаймні за місяць заздалегідь головою від імені Виконавчого комітету. Скликання буде супроводжуватися Порядком денним.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24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Асоційовані федерації можуть вимагати включення до Порядку денного питань, що належать до компетенції Конгресу.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Пропозиції Федерацій повинні надходити до Виконавчого комітету до 30 березня кожного року, щоб він їх вивчив з метою включення до Порядку денного наступного Конгресу. Вони повинні бути детальними і, якщо необхідно, супроводжуватися коментарем.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25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Конгрес щороку заслуховує доповіді (Мораль, Фінанси, Аудитори) про керівництво Виконавчим комітетом.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Він висловлюється про представлені звіти та голосує за попередній бюджет на наступний фінансовий рік. Це виключно його компетенція обговорювати питання, зареєстровані в Порядку денному, та щодо змін до Статуту та положень, які можуть бути запропоновані Федераціями або Виконавчим комітетом.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26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Голова М.Ф.П.П.Г. керує роботою Конгресу. У разі перешкод його замінює обраний ним заступник.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27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Кожна асоційована Федерація може бути представлена ​​на Конгресі однією або кількома особами. У голосуваннях бере участь лише голова або його офіційний делегат.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28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Асоційована Федерація може делегувати свої повноваження іншій на вибір, якщо та є повноправним членом.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uk-UA"/>
              </w:rPr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Кожна Федерація може отримати лише один мандат на представництво іншого.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29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Не дозволяється заочне голосування.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30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Кожна Федерація, яка вчасно сплачує внески, має право на один голос.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31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Голосування, як правило, відбувається підняттям рук  або поіменною перекличкою.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Застосування таємного голосування відбувається де-юре на вимогу простої більшості поданих голосів. Це обов’язково для виборів.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Вибори та голосування проводяться простою більшістю голосів, окрім випадків, перелічених у статті 32.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32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Дві третини поданих голосів є обов'язковими у випадках: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а) Прийому та виключення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б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) Зміни Статуту та внутрішнього регламенту,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в) Призначення Почесного члена.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Б) ПОЗАЧЕРГОВИЙ КОНГРЕС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25"/>
        <w:gridCol w:w="7734"/>
      </w:tblGrid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 xml:space="preserve">Стаття 33 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Позачерговий конгрес може бути скликаний: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a) На вимогу більшості членів Виконавчого комітету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б) На вимогу третьої частини федерацій,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в) Під час прохання про розпуск М.Ф.П.П.Г., поданого половиною асоційованих федерацій плюс одна, що вчасно сплачують свої внески.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Як тільки Виконавчий комітет отримав один з цих запитів, він повинен якнайшвидше скликати Конгрес і не пізніше, ніж через два місяці.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34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У випадках а) б) статті 34 у запрошенні повинні бути зазначені причини, що мотивували це прохання.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Виконавчий комітет встановить Порядок денний належним чином.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У випадку 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) цієї ж статті, у запрошенні враховується лише прохання про розірвання. Позачерговий Конгрес, який закликає прийняти рішення щодо цієї пропозиції, повинен включати дві третини асоційованих федерацій.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Позачерговий конгрес прийме рішення, у разі необхідності, про ліквідацію товарів та активів М.Ф.П.П.Г. 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hanging="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V</w:t>
      </w:r>
    </w:p>
    <w:p>
      <w:pPr>
        <w:pStyle w:val="Normal"/>
        <w:widowControl w:val="false"/>
        <w:suppressAutoHyphens w:val="true"/>
        <w:bidi w:val="0"/>
        <w:ind w:left="0" w:right="0" w:hanging="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ВИКОНАВЧИЙ КОМІТЕТ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u w:val="single"/>
          <w:lang w:val="uk-U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1"/>
        <w:gridCol w:w="7718"/>
      </w:tblGrid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 xml:space="preserve">Стаття 35 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Виконавчий комітет складається з дванадцяти (12) обраних членів: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а) Голова М.Ф.П.П.Г. обраний Конгресом,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б) Генеральний секретар та генеральний скарбничий за пропозицією Голови, поданих на голосування Конгресу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в) 9 осіб, обраних Конгресом, з різних країн, що не належать до нації Голови.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Будь-який кандидат на голову та будь-яка особа, яку зондують на посаду генерального секретаря або генерального скарбничого, яка не була обрана, має право приєднати свою кандидатуру до своєчасно прийнятих, аби стати членом Виконавчого комітету.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Кандидатів повинна представляти їх Національна федерація, це представлення дорівнює зобов’язанню з боку останньої виконувати положення цього Статуту, що стосуються оплати певних витрат (ст. 41).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Почесними членами Виконавчого комітету є Голови, які відбули щонайменше два мандати.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36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Термін повноважень членів Виконавчого комітету - чотири роки.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Однак для забезпечення форми наступності Виконавчого комітету його відновлення буде поступовим. Отже, вибори проводяться наступним чином кожні два роки: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uk-UA"/>
              </w:rPr>
              <w:t>1-й цикл: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 Голова, секретар, скарбничий та чотири (4) особи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uk-UA"/>
              </w:rPr>
              <w:t>2-й цикл: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 п’ять (5) осіб.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 37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Щоб бути обраними до Виконавчого комітету кандидати, які представляють свою Федерацію, повинні бути повнолітніми, мати хороший характер та користуватися усіма цивільними правами, наданими їм за національністю.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38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За необхідності Виконавчий комітет може запросити представника належно сформованої Континентальної конфедерації для участі в його роботі.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39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Голова представляє М.Ф.П.П.Г. у всіх актах громадянського життя та в усіх офіційних та спортивних заходах. У разі перешкод він може делегувати свої повноваження члену Виконавчого комітету.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40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Межі повноважень Голови та Виконавчого комітету встановлюються або Статутом і Положеннями, або рішеннями, що випливають з Конгресів.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41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Виконавчий комітет збирається не рідше одного разу на рік.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Місце та дата будуть визначені вчасно.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Витрати на поїздку та проживання членів Виконавчого комітету (крім Голови) несуть федерації, членами яких вони є.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42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Під час голосування у Виконавчому комітеті, у разі рівного розподілу голосів, переважаючим є голос Голови М.Ф.П.П.Г. 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VI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КОМІСІЇ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u w:val="single"/>
          <w:lang w:val="uk-U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1"/>
        <w:gridCol w:w="7718"/>
      </w:tblGrid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43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Виконавчий комітет може створювати навчальні комісії.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44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Їх повноваження, а також їх склад визначає Виконавчий комітет. Останній точно конкретизує покладені на них завдання та визначає порядок виконання.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45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Їх робота контролюється і за необхідності керується Виконавчим комітетом. Останній повинен надавати пріоритет вивченню адресованих йому звітів.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VII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ФІНАНСИ</w:t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25"/>
        <w:gridCol w:w="7734"/>
      </w:tblGrid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46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Ресурси М.Ф.П.П.Г. походять від: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а) вступу (приєднання) (див. додаток до </w:t>
            </w:r>
            <w:r>
              <w:rPr>
                <w:rFonts w:cs="Times New Roman" w:ascii="Times New Roman" w:hAnsi="Times New Roman"/>
                <w:sz w:val="28"/>
                <w:szCs w:val="28"/>
                <w:highlight w:val="yellow"/>
                <w:lang w:val="uk-UA"/>
              </w:rPr>
              <w:t>В.Р.)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б) внесків (див. додаток до </w:t>
            </w:r>
            <w:r>
              <w:rPr>
                <w:rFonts w:cs="Times New Roman" w:ascii="Times New Roman" w:hAnsi="Times New Roman"/>
                <w:sz w:val="28"/>
                <w:szCs w:val="28"/>
                <w:highlight w:val="yellow"/>
                <w:lang w:val="uk-UA"/>
              </w:rPr>
              <w:t>В.Р.)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в) субсидій державних органів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г) пожертв, спадщини (легат), спонсорства та партнерств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д) будь-якого іншого доходу, що залишається в рамках Статуту, цілей та діяльності, - який Виконавчий комітет або Федерації змогли б здобути.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47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Витрати М.Ф.П.П.Г. встановлюються Тимчасовим бюджетом, який подається на затвердження Конгресу.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Суми, що вносяться в різні статті Тимчасового бюджету, не повинні перевищувати більш ніж на третину, за винятком обґрунтованих причин, прийнятих Виконавчим комітетом.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48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Кожна Федерація зобов'язується виконувати свої фінансові зобов’язання перед М.Ф.П.П.Г. 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49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Будь-яка Федерація, яка не сплачує вчасно членські внески, не може брати участь у чемпіонаті світу. Це зобов'язання стосується також стажерських федерацій або тимчасово прийнятих.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50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Федерації, які не сплачують належні суми протягом встановлених строків (див. В.Р. Стаття 3, рубрика Генеральний скарбничий), можуть, якщо вони у чомусь винні, підлягати санкціям та штрафам, які будуть винесені Конгресом на прохання виконавчого комітету.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Конгрес надає мандат Аудитора двом федераціям, які не представлені у Виконавчому комітеті. Кожна з них призначить члена своєї делегації для здійснення цього контролю, який повинен обов’язково  відбутися напередодні Конгресу.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Термін цього мандату - два роки.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VIII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ЧЛЕНСЬКИЙ БІЛЕТ - СТРАХУВАННЯ</w:t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25"/>
        <w:gridCol w:w="7734"/>
      </w:tblGrid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52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Будь-яке свідоцтво (членський білет), встановлене ​​Федерацією, в обов’язковому порядку визнається дійсним всіма іншими федераціями-членами М.Ф.П.П.Г. і тим паче усіма асоціаціями, що її складають.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Національні, регіональні та департаментські чемпіонати відкриті лише для спортсменів, що мають членський білет  відповідних федерацій, за винятком випадків, коли в Статуті чи внутрішньому регламенті не передбачено конкретних положень щодо іноземних гравців.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53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Гравець може мати лише один членський білет.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Гравець може взяти свій членський білет куди завгодно. Однак кожна конфедерація може вживати заходів, що обмежують це положення, і будь-яка приймаюча країна залишатиметься вільною прийняти або відмовитись від таких заявок на членські білети та встановити правила, що обмежують доступ до певних змагань для цих спортсменів з інших країн.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54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Про прикордонних працівників, гравців шкільного віку та осіб, які мають подвійне громадянство, див. Статтю 9 внутрішнього регламенту.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55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Усі власники членського білету повинні бути застраховані своєю Федерацією. Остання повинна покрити цю цивільно-правову відповідальність договором щодо нещасних випадків, спричинених третіми особами, в офіційних, дружніх і тренувальних іграх, у разі відсутності якого потрібно було б відшкодувати шкоду, заподіяну іншим через практику гри.</w:t>
            </w:r>
          </w:p>
        </w:tc>
      </w:tr>
      <w:tr>
        <w:trPr/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55а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Положення Світового антидопінгового кодексу (на даний 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момент версія 3.0 від 20.02.03) повністю застосовуються до всіх осіб та всіх змагань, що передаються під владу М.Ф.П.П.Г.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Спеціальний регламент під назвою "Положення про боротьбу з допінгом М.Ф.П.П.Г. робить правила, положення та програми обов'язковими відповідно до Світового антидопінгового кодексу, дотримуючись моделей світових стандартів, розроблених Світовою антидопінговою агенцією (А.М.А.).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IX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ДИСЦИПЛІНА</w:t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1"/>
        <w:gridCol w:w="7718"/>
      </w:tblGrid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56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М.Ф.П.П.Г. здійснює свої повноваження щодо міжнародних змагань - включаючи чемпіонати світу - які належать до її компетенції.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57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Якщо спортсмен з членським білетом порушує її Регламент, Міжнародна федерація може змусити Федерацію, до якої він належить, вжити санкцій, які вводяться та які передбачені її Статутом або внутрішнім регламентом.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58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Якщо Національна федерація порушить Положення М.Ф.П.П.Г., її Голова буде викликаний перед Виконавчим комітетом, який виступатиме в даному випадку в якості Дисциплінарної комісії.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X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ВНЕСЕННЯ ЗМІН ДО СТАТУТУ ТА РЕГЛАМЕНТУ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РОЗПУСК-ПРАВО НА ОСКАРЖЕННЯ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u w:val="single"/>
          <w:lang w:val="uk-U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1"/>
        <w:gridCol w:w="7718"/>
      </w:tblGrid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59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Статут та положення (регламент) (внутрішні, ігрові та чемпіонати світу) можуть бути змінені тільки Конгресом за пропозицією Виконавчого комітету або третини членів, з яких складається Конгрес.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 обох випадках запрошення, що супроводжується порядком денним, де зазначаються запропоновані зміни, надсилається Федераціям за два місяці до дати проведення Конгресу.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Статут та внутрішній регламент можуть бути змінені, лише якщо принаймні половина його членів є присутніми або представленими і якщо запропонована (-і) зміна (-и) отримують дві третини голосів присутніх.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60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Розпуск (див. Статтю 33 Статуту - 3-й абзац)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61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Конгрес М.Ф.П.П.Г. є останньою юрисдикцією, компетентною вирішувати всі справи, які можуть бути передані до нього асоційованими федераціями.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Його рішення остаточні (не підлягають оскарженню).</w:t>
            </w:r>
          </w:p>
        </w:tc>
      </w:tr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  <w:u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none"/>
                <w:lang w:val="uk-UA"/>
              </w:rPr>
              <w:t>Стаття 62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Асоційовані федерації визнають юрисдикційну (судову) владу М.Ф.П.П.Г., а отже, відмовляються від звернення до державних судів, у тому числі в країнах, де таке звернення конституційно гарантовано. Будь-який спір щодо прийнятого рішення буде остаточно вирішений Арбітражним судом з питань спорту (АСПС) (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le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Tribunal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Arbitral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du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</w:rPr>
              <w:t>Sport</w:t>
            </w:r>
            <w:r>
              <w:rPr>
                <w:rStyle w:val="2"/>
                <w:rFonts w:eastAsia="" w:ascii="Times New Roman" w:hAnsi="Times New Roman" w:eastAsiaTheme="minorEastAsia"/>
                <w:b w:val="false"/>
                <w:bCs w:val="false"/>
                <w:sz w:val="28"/>
                <w:szCs w:val="28"/>
                <w:lang w:val="uk-UA"/>
              </w:rPr>
              <w:t xml:space="preserve"> (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Т.А.С.).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РОЗДІЛ XI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  <w:lang w:val="uk-UA"/>
        </w:rPr>
        <w:t>ВНУТРІШНІЙ РЕГЛАМЕНТ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b/>
          <w:b/>
          <w:u w:val="single"/>
          <w:lang w:val="uk-U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4"/>
        <w:tblW w:w="935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1"/>
        <w:gridCol w:w="7718"/>
      </w:tblGrid>
      <w:tr>
        <w:trPr/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Стаття 63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Внутрішній регламент підготований Виконавчим комітетом і щоб застосовуватися, повинен мати схвалення Конгресу.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Його мета - роз'яснення та доповнення статутних положень. Він визначає: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а) роль Виконавчого комітету та його членів,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б) роль Комісій і, зокрема, Комісії Правил гри та арбітражу, яка є постійною,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в) розподіл ліцензій,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г) Правила, що стосуються міжнародних змагань,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д) призначення міжнародних арбітрів після експертизи,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f) страхування,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ж) дисципліну.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5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У додатку наведені умови щодо приєднання та внесків.</w:t>
            </w:r>
          </w:p>
        </w:tc>
      </w:tr>
    </w:tbl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rFonts w:cs="Times New Roman"/>
          <w:lang w:val="uk-U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Даний статут був затвердженим на Міжнародному конгресі М.Ф.П.П.Г. (F.I.P.J.P.), який відбувся в Епіналі (ФРАНЦІЯ) 18 вересня 1986 року, у Шіан-Ме (Таїланд) 17 листопада 1993 року, у Брюсселі (БЕЛЬГІЯ) 21 вересня 1995 року, у Монпельє (ФРАНЦІЯ) 25 вересня 1997 року, у Маспаломас ( Канарські острови - Іспанія) 24 вересня 1998 року, у Сен-Дені на о. Реюньйон (ФРАНЦІЯ) 30 вересня 1999 року, в Монако 27 вересня 2001 року і в Женеві 17 липня 2003 року, у Ніці 2 квітня 2004 року, та в Греноблі 21 вересня 2006 року.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Генеральний секретар М.Ф.П.П.Г. (F.I.P.J.P.)</w:t>
        <w:tab/>
        <w:t>Голова М.Ф.П.П.Г. (F.I.P.J.P.)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widowControl w:val="false"/>
        <w:suppressAutoHyphens w:val="true"/>
        <w:bidi w:val="0"/>
        <w:ind w:left="0" w:right="0" w:firstLine="51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uk-UA"/>
        </w:rPr>
        <w:t>A. КАНТАРУТТІ</w:t>
        <w:tab/>
        <w:tab/>
        <w:tab/>
        <w:tab/>
        <w:tab/>
        <w:tab/>
        <w:tab/>
        <w:tab/>
        <w:t>С. АЗЕМА</w:t>
      </w:r>
    </w:p>
    <w:p>
      <w:pPr>
        <w:pStyle w:val="Normal"/>
        <w:widowControl w:val="false"/>
        <w:suppressAutoHyphens w:val="true"/>
        <w:bidi w:val="0"/>
        <w:ind w:left="0" w:right="0" w:firstLine="510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tabs>
          <w:tab w:val="clear" w:pos="709"/>
          <w:tab w:val="center" w:pos="4819" w:leader="none"/>
        </w:tabs>
        <w:rPr>
          <w:lang w:val="uk-UA"/>
        </w:rPr>
      </w:pPr>
      <w:r>
        <w:rPr>
          <w:lang w:val="uk-UA"/>
        </w:rPr>
        <w:tab/>
      </w:r>
    </w:p>
    <w:p>
      <w:pPr>
        <w:pStyle w:val="Normal"/>
        <w:tabs>
          <w:tab w:val="clear" w:pos="709"/>
          <w:tab w:val="left" w:pos="6934" w:leader="none"/>
        </w:tabs>
        <w:rPr>
          <w:rFonts w:ascii="Calibri" w:hAnsi="Calibri" w:cs="Calibri" w:asciiTheme="minorHAnsi" w:cstheme="minorHAnsi" w:hAnsiTheme="minorHAnsi"/>
          <w:color w:val="1D2129"/>
          <w:sz w:val="28"/>
          <w:szCs w:val="28"/>
          <w:highlight w:val="white"/>
          <w:lang w:val="uk-UA"/>
        </w:rPr>
      </w:pPr>
      <w:r>
        <w:rPr>
          <w:rFonts w:cs="Calibri" w:cstheme="minorHAnsi" w:ascii="Calibri" w:hAnsi="Calibri"/>
          <w:color w:val="1D2129"/>
          <w:sz w:val="28"/>
          <w:szCs w:val="28"/>
          <w:highlight w:val="white"/>
          <w:lang w:val="uk-UA"/>
        </w:rPr>
      </w:r>
    </w:p>
    <w:p>
      <w:pPr>
        <w:pStyle w:val="Normal"/>
        <w:rPr>
          <w:rFonts w:ascii="Calibri" w:hAnsi="Calibri" w:eastAsia="Dotum" w:cs="Tahoma"/>
          <w:sz w:val="28"/>
          <w:szCs w:val="28"/>
          <w:highlight w:val="white"/>
          <w:lang w:val="uk-UA"/>
        </w:rPr>
      </w:pPr>
      <w:r>
        <w:rPr>
          <w:rFonts w:eastAsia="Dotum" w:cs="Tahoma" w:ascii="Calibri" w:hAnsi="Calibri"/>
          <w:sz w:val="28"/>
          <w:szCs w:val="28"/>
          <w:highlight w:val="white"/>
          <w:lang w:val="uk-UA"/>
        </w:rPr>
      </w:r>
    </w:p>
    <w:p>
      <w:pPr>
        <w:pStyle w:val="Normal"/>
        <w:jc w:val="right"/>
        <w:rPr>
          <w:rFonts w:ascii="Calibri" w:hAnsi="Calibri" w:eastAsia="Dotum" w:cs="Tahoma"/>
          <w:sz w:val="28"/>
          <w:szCs w:val="28"/>
          <w:highlight w:val="white"/>
          <w:lang w:val="uk-UA"/>
        </w:rPr>
      </w:pPr>
      <w:r>
        <w:rPr>
          <w:rFonts w:eastAsia="Dotum" w:cs="Tahoma" w:ascii="Calibri" w:hAnsi="Calibri"/>
          <w:sz w:val="28"/>
          <w:szCs w:val="28"/>
          <w:shd w:fill="FFFFFF" w:val="clear"/>
          <w:lang w:val="uk-UA"/>
        </w:rPr>
        <w:t>Олена Колодій</w:t>
      </w:r>
    </w:p>
    <w:p>
      <w:pPr>
        <w:pStyle w:val="Normal"/>
        <w:jc w:val="right"/>
        <w:rPr>
          <w:rFonts w:ascii="Calibri" w:hAnsi="Calibri" w:eastAsia="Dotum" w:cs="Tahoma"/>
          <w:sz w:val="28"/>
          <w:szCs w:val="28"/>
          <w:highlight w:val="white"/>
          <w:lang w:val="uk-UA"/>
        </w:rPr>
      </w:pPr>
      <w:r>
        <w:rPr>
          <w:rFonts w:eastAsia="Dotum" w:cs="Tahoma" w:ascii="Calibri" w:hAnsi="Calibri"/>
          <w:sz w:val="28"/>
          <w:szCs w:val="28"/>
          <w:shd w:fill="FFFFFF" w:val="clear"/>
          <w:lang w:val="uk-UA"/>
        </w:rPr>
        <w:t>президент Громадської Спілки</w:t>
      </w:r>
    </w:p>
    <w:p>
      <w:pPr>
        <w:pStyle w:val="Normal"/>
        <w:jc w:val="right"/>
        <w:rPr>
          <w:rFonts w:ascii="Calibri" w:hAnsi="Calibri" w:eastAsia="Dotum" w:cs="Tahoma"/>
          <w:sz w:val="28"/>
          <w:szCs w:val="28"/>
          <w:highlight w:val="white"/>
          <w:lang w:val="uk-UA"/>
        </w:rPr>
      </w:pPr>
      <w:r>
        <w:rPr>
          <w:rFonts w:eastAsia="Dotum" w:cs="Tahoma" w:ascii="Calibri" w:hAnsi="Calibri"/>
          <w:sz w:val="28"/>
          <w:szCs w:val="28"/>
          <w:shd w:fill="FFFFFF" w:val="clear"/>
          <w:lang w:val="uk-UA"/>
        </w:rPr>
        <w:t>«Федерація петанку України»</w:t>
      </w:r>
    </w:p>
    <w:p>
      <w:pPr>
        <w:pStyle w:val="Normal"/>
        <w:jc w:val="right"/>
        <w:rPr/>
      </w:pPr>
      <w:hyperlink r:id="rId3">
        <w:r>
          <w:rPr>
            <w:rStyle w:val="Style14"/>
            <w:rFonts w:eastAsia="Dotum" w:ascii="Calibri" w:hAnsi="Calibri"/>
            <w:sz w:val="28"/>
            <w:szCs w:val="28"/>
            <w:lang w:val="en-US"/>
          </w:rPr>
          <w:t>cupfukraine</w:t>
        </w:r>
        <w:r>
          <w:rPr>
            <w:rStyle w:val="Style14"/>
            <w:rFonts w:eastAsia="Dotum" w:ascii="Calibri" w:hAnsi="Calibri"/>
            <w:sz w:val="28"/>
            <w:szCs w:val="28"/>
          </w:rPr>
          <w:t>@</w:t>
        </w:r>
        <w:r>
          <w:rPr>
            <w:rStyle w:val="Style14"/>
            <w:rFonts w:eastAsia="Dotum" w:ascii="Calibri" w:hAnsi="Calibri"/>
            <w:sz w:val="28"/>
            <w:szCs w:val="28"/>
            <w:lang w:val="en-US"/>
          </w:rPr>
          <w:t>gmail.com</w:t>
        </w:r>
      </w:hyperlink>
    </w:p>
    <w:p>
      <w:pPr>
        <w:pStyle w:val="Normal"/>
        <w:jc w:val="right"/>
        <w:rPr>
          <w:rFonts w:ascii="Calibri" w:hAnsi="Calibri" w:eastAsia="Dotum"/>
          <w:sz w:val="28"/>
          <w:szCs w:val="28"/>
          <w:lang w:val="uk-UA"/>
        </w:rPr>
      </w:pPr>
      <w:r>
        <w:rPr>
          <w:rFonts w:eastAsia="Dotum" w:ascii="Calibri" w:hAnsi="Calibri"/>
          <w:sz w:val="28"/>
          <w:szCs w:val="28"/>
          <w:lang w:val="uk-UA"/>
        </w:rPr>
        <w:t>099-306-18-63</w:t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6"/>
  <w:embedSystemFonts/>
  <w:defaultTabStop w:val="709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e4db4"/>
    <w:pPr>
      <w:widowControl w:val="false"/>
      <w:suppressAutoHyphens w:val="true"/>
      <w:bidi w:val="0"/>
      <w:jc w:val="left"/>
    </w:pPr>
    <w:rPr>
      <w:rFonts w:ascii="Times New Roman" w:hAnsi="Times New Roman" w:eastAsia="Lucida Sans Unicode" w:cs="Mangal"/>
      <w:color w:val="auto"/>
      <w:kern w:val="2"/>
      <w:sz w:val="24"/>
      <w:szCs w:val="24"/>
      <w:lang w:val="ru-RU" w:eastAsia="hi-I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Гіперпосилання"/>
    <w:uiPriority w:val="99"/>
    <w:unhideWhenUsed/>
    <w:rsid w:val="000e20d9"/>
    <w:rPr>
      <w:color w:val="0000FF"/>
      <w:u w:val="single"/>
    </w:rPr>
  </w:style>
  <w:style w:type="character" w:styleId="5yl5" w:customStyle="1">
    <w:name w:val="_5yl5"/>
    <w:basedOn w:val="DefaultParagraphFont"/>
    <w:qFormat/>
    <w:rsid w:val="00dc7b66"/>
    <w:rPr/>
  </w:style>
  <w:style w:type="character" w:styleId="Appleconvertedspace" w:customStyle="1">
    <w:name w:val="apple-converted-space"/>
    <w:basedOn w:val="DefaultParagraphFont"/>
    <w:qFormat/>
    <w:rsid w:val="00235f3e"/>
    <w:rPr/>
  </w:style>
  <w:style w:type="character" w:styleId="Style15" w:customStyle="1">
    <w:name w:val="Текст у виносці Знак"/>
    <w:basedOn w:val="DefaultParagraphFont"/>
    <w:link w:val="a8"/>
    <w:uiPriority w:val="99"/>
    <w:semiHidden/>
    <w:qFormat/>
    <w:rsid w:val="001e2bb1"/>
    <w:rPr>
      <w:rFonts w:ascii="Tahoma" w:hAnsi="Tahoma" w:eastAsia="Lucida Sans Unicode" w:cs="Mangal"/>
      <w:kern w:val="2"/>
      <w:sz w:val="16"/>
      <w:szCs w:val="14"/>
      <w:lang w:val="ru-RU" w:eastAsia="hi-IN" w:bidi="hi-IN"/>
    </w:rPr>
  </w:style>
  <w:style w:type="character" w:styleId="ListLabel1">
    <w:name w:val="ListLabel 1"/>
    <w:qFormat/>
    <w:rPr/>
  </w:style>
  <w:style w:type="character" w:styleId="ListLabel2">
    <w:name w:val="ListLabel 2"/>
    <w:qFormat/>
    <w:rPr>
      <w:lang w:val="uk-UA"/>
    </w:rPr>
  </w:style>
  <w:style w:type="character" w:styleId="ListLabel3">
    <w:name w:val="ListLabel 3"/>
    <w:qFormat/>
    <w:rPr>
      <w:rFonts w:ascii="Calibri" w:hAnsi="Calibri" w:eastAsia="Dotum"/>
      <w:sz w:val="28"/>
      <w:szCs w:val="28"/>
      <w:lang w:val="en-US"/>
    </w:rPr>
  </w:style>
  <w:style w:type="character" w:styleId="ListLabel4">
    <w:name w:val="ListLabel 4"/>
    <w:qFormat/>
    <w:rPr>
      <w:rFonts w:ascii="Calibri" w:hAnsi="Calibri" w:eastAsia="Dotum"/>
      <w:sz w:val="28"/>
      <w:szCs w:val="28"/>
    </w:rPr>
  </w:style>
  <w:style w:type="character" w:styleId="ListLabel5">
    <w:name w:val="ListLabel 5"/>
    <w:qFormat/>
    <w:rPr/>
  </w:style>
  <w:style w:type="character" w:styleId="ListLabel6">
    <w:name w:val="ListLabel 6"/>
    <w:qFormat/>
    <w:rPr>
      <w:lang w:val="uk-UA"/>
    </w:rPr>
  </w:style>
  <w:style w:type="character" w:styleId="ListLabel7">
    <w:name w:val="ListLabel 7"/>
    <w:qFormat/>
    <w:rPr>
      <w:rFonts w:ascii="Calibri" w:hAnsi="Calibri" w:eastAsia="Dotum"/>
      <w:sz w:val="28"/>
      <w:szCs w:val="28"/>
      <w:lang w:val="en-US"/>
    </w:rPr>
  </w:style>
  <w:style w:type="character" w:styleId="ListLabel8">
    <w:name w:val="ListLabel 8"/>
    <w:qFormat/>
    <w:rPr>
      <w:rFonts w:ascii="Calibri" w:hAnsi="Calibri" w:eastAsia="Dotum"/>
      <w:sz w:val="28"/>
      <w:szCs w:val="28"/>
    </w:rPr>
  </w:style>
  <w:style w:type="character" w:styleId="ListLabel9">
    <w:name w:val="ListLabel 9"/>
    <w:qFormat/>
    <w:rPr>
      <w:rFonts w:ascii="Calibri" w:hAnsi="Calibri" w:eastAsia="Dotum"/>
      <w:sz w:val="28"/>
      <w:szCs w:val="28"/>
      <w:lang w:val="en-US"/>
    </w:rPr>
  </w:style>
  <w:style w:type="character" w:styleId="ListLabel10">
    <w:name w:val="ListLabel 10"/>
    <w:qFormat/>
    <w:rPr>
      <w:rFonts w:ascii="Calibri" w:hAnsi="Calibri" w:eastAsia="Dotum"/>
      <w:sz w:val="28"/>
      <w:szCs w:val="28"/>
    </w:rPr>
  </w:style>
  <w:style w:type="character" w:styleId="ListLabel11">
    <w:name w:val="ListLabel 11"/>
    <w:qFormat/>
    <w:rPr>
      <w:rFonts w:ascii="Calibri" w:hAnsi="Calibri" w:eastAsia="Dotum"/>
      <w:sz w:val="28"/>
      <w:szCs w:val="28"/>
      <w:lang w:val="en-US"/>
    </w:rPr>
  </w:style>
  <w:style w:type="character" w:styleId="ListLabel12">
    <w:name w:val="ListLabel 12"/>
    <w:qFormat/>
    <w:rPr>
      <w:rFonts w:ascii="Calibri" w:hAnsi="Calibri" w:eastAsia="Dotum"/>
      <w:sz w:val="28"/>
      <w:szCs w:val="28"/>
    </w:rPr>
  </w:style>
  <w:style w:type="character" w:styleId="ListLabel13">
    <w:name w:val="ListLabel 13"/>
    <w:qFormat/>
    <w:rPr>
      <w:rFonts w:ascii="Calibri" w:hAnsi="Calibri" w:eastAsia="Dotum"/>
      <w:sz w:val="28"/>
      <w:szCs w:val="28"/>
      <w:lang w:val="en-US"/>
    </w:rPr>
  </w:style>
  <w:style w:type="character" w:styleId="ListLabel14">
    <w:name w:val="ListLabel 14"/>
    <w:qFormat/>
    <w:rPr>
      <w:rFonts w:ascii="Calibri" w:hAnsi="Calibri" w:eastAsia="Dotum"/>
      <w:sz w:val="28"/>
      <w:szCs w:val="28"/>
    </w:rPr>
  </w:style>
  <w:style w:type="character" w:styleId="2">
    <w:name w:val="Основной текст (2)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fr-FR" w:eastAsia="fr-FR" w:bidi="fr-FR"/>
    </w:rPr>
  </w:style>
  <w:style w:type="paragraph" w:styleId="Style16" w:customStyle="1">
    <w:name w:val="Заголовок"/>
    <w:basedOn w:val="Normal"/>
    <w:next w:val="Style17"/>
    <w:qFormat/>
    <w:rsid w:val="001e4db4"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Style17">
    <w:name w:val="Body Text"/>
    <w:basedOn w:val="Normal"/>
    <w:rsid w:val="001e4db4"/>
    <w:pPr>
      <w:spacing w:before="0" w:after="120"/>
    </w:pPr>
    <w:rPr/>
  </w:style>
  <w:style w:type="paragraph" w:styleId="Style18">
    <w:name w:val="List"/>
    <w:basedOn w:val="Style17"/>
    <w:rsid w:val="001e4db4"/>
    <w:pPr/>
    <w:rPr/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Покажчик"/>
    <w:basedOn w:val="Normal"/>
    <w:qFormat/>
    <w:pPr>
      <w:suppressLineNumbers/>
    </w:pPr>
    <w:rPr>
      <w:rFonts w:cs="Arial"/>
    </w:rPr>
  </w:style>
  <w:style w:type="paragraph" w:styleId="1" w:customStyle="1">
    <w:name w:val="Название1"/>
    <w:basedOn w:val="Normal"/>
    <w:qFormat/>
    <w:rsid w:val="001e4db4"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basedOn w:val="Normal"/>
    <w:qFormat/>
    <w:rsid w:val="001e4db4"/>
    <w:pPr>
      <w:suppressLineNumbers/>
    </w:pPr>
    <w:rPr/>
  </w:style>
  <w:style w:type="paragraph" w:styleId="NoSpacing">
    <w:name w:val="No Spacing"/>
    <w:uiPriority w:val="99"/>
    <w:qFormat/>
    <w:rsid w:val="00dc7b66"/>
    <w:pPr>
      <w:widowControl/>
      <w:bidi w:val="0"/>
      <w:jc w:val="left"/>
    </w:pPr>
    <w:rPr>
      <w:rFonts w:ascii="Calibri" w:hAnsi="Calibri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1e2bb1"/>
    <w:pPr/>
    <w:rPr>
      <w:rFonts w:ascii="Tahoma" w:hAnsi="Tahoma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cupfukraine@gmail.com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Neat_Office/6.2.8.2$Windows_x86 LibreOffice_project/</Application>
  <Pages>10</Pages>
  <Words>2373</Words>
  <Characters>15202</Characters>
  <CharactersWithSpaces>17372</CharactersWithSpaces>
  <Paragraphs>226</Paragraphs>
  <Company>KrotySOFT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2020-04-01T10:35:00Z</dcterms:created>
  <dc:creator>nata</dc:creator>
  <dc:description/>
  <dc:language>uk-UA</dc:language>
  <cp:lastModifiedBy/>
  <cp:lastPrinted>2016-08-19T10:33:00Z</cp:lastPrinted>
  <dcterms:modified xsi:type="dcterms:W3CDTF">2020-12-21T20:19:37Z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KrotySOFT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